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 w:hAnsi="仿宋" w:eastAsia="仿宋" w:cs="宋体"/>
          <w:b w:val="0"/>
          <w:bCs/>
          <w:sz w:val="32"/>
          <w:szCs w:val="32"/>
        </w:rPr>
      </w:pPr>
      <w:r>
        <w:rPr>
          <w:rFonts w:hint="eastAsia" w:ascii="仿宋" w:hAnsi="仿宋" w:eastAsia="仿宋" w:cs="宋体"/>
          <w:b w:val="0"/>
          <w:bCs/>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广东南方工报传媒有限公司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公开招聘岗位需求表</w:t>
      </w:r>
    </w:p>
    <w:tbl>
      <w:tblPr>
        <w:tblStyle w:val="2"/>
        <w:tblpPr w:leftFromText="180" w:rightFromText="180" w:vertAnchor="text" w:horzAnchor="page" w:tblpX="2036" w:tblpY="244"/>
        <w:tblOverlap w:val="never"/>
        <w:tblW w:w="8086" w:type="dxa"/>
        <w:tblInd w:w="0" w:type="dxa"/>
        <w:shd w:val="clear" w:color="auto" w:fill="FFFFFF"/>
        <w:tblLayout w:type="autofit"/>
        <w:tblCellMar>
          <w:top w:w="0" w:type="dxa"/>
          <w:left w:w="0" w:type="dxa"/>
          <w:bottom w:w="0" w:type="dxa"/>
          <w:right w:w="0" w:type="dxa"/>
        </w:tblCellMar>
      </w:tblPr>
      <w:tblGrid>
        <w:gridCol w:w="905"/>
        <w:gridCol w:w="888"/>
        <w:gridCol w:w="1440"/>
        <w:gridCol w:w="1440"/>
        <w:gridCol w:w="3413"/>
      </w:tblGrid>
      <w:tr>
        <w:tblPrEx>
          <w:shd w:val="clear" w:color="auto" w:fill="FFFFFF"/>
          <w:tblCellMar>
            <w:top w:w="0" w:type="dxa"/>
            <w:left w:w="0" w:type="dxa"/>
            <w:bottom w:w="0" w:type="dxa"/>
            <w:right w:w="0" w:type="dxa"/>
          </w:tblCellMar>
        </w:tblPrEx>
        <w:trPr>
          <w:trHeight w:val="1158" w:hRule="atLeast"/>
        </w:trPr>
        <w:tc>
          <w:tcPr>
            <w:tcW w:w="905" w:type="dxa"/>
            <w:tcBorders>
              <w:top w:val="single" w:color="auto" w:sz="6" w:space="0"/>
              <w:left w:val="single" w:color="auto" w:sz="6" w:space="0"/>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000000"/>
                <w:spacing w:val="8"/>
                <w:kern w:val="0"/>
                <w:sz w:val="27"/>
                <w:szCs w:val="27"/>
              </w:rPr>
            </w:pPr>
            <w:r>
              <w:rPr>
                <w:rFonts w:hint="eastAsia" w:ascii="仿宋" w:hAnsi="仿宋" w:eastAsia="仿宋" w:cs="宋体"/>
                <w:b/>
                <w:color w:val="000000"/>
                <w:spacing w:val="8"/>
                <w:kern w:val="0"/>
                <w:sz w:val="27"/>
                <w:szCs w:val="27"/>
              </w:rPr>
              <w:t>招聘</w:t>
            </w:r>
          </w:p>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岗位</w:t>
            </w:r>
          </w:p>
        </w:tc>
        <w:tc>
          <w:tcPr>
            <w:tcW w:w="888"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000000"/>
                <w:spacing w:val="8"/>
                <w:kern w:val="0"/>
                <w:sz w:val="27"/>
                <w:szCs w:val="27"/>
              </w:rPr>
            </w:pPr>
            <w:r>
              <w:rPr>
                <w:rFonts w:hint="eastAsia" w:ascii="仿宋" w:hAnsi="仿宋" w:eastAsia="仿宋" w:cs="宋体"/>
                <w:b/>
                <w:color w:val="000000"/>
                <w:spacing w:val="8"/>
                <w:kern w:val="0"/>
                <w:sz w:val="27"/>
                <w:szCs w:val="27"/>
              </w:rPr>
              <w:t>招聘</w:t>
            </w:r>
          </w:p>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人数</w:t>
            </w:r>
          </w:p>
        </w:tc>
        <w:tc>
          <w:tcPr>
            <w:tcW w:w="1440"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招聘专业</w:t>
            </w:r>
          </w:p>
        </w:tc>
        <w:tc>
          <w:tcPr>
            <w:tcW w:w="1440"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学历学位</w:t>
            </w:r>
          </w:p>
        </w:tc>
        <w:tc>
          <w:tcPr>
            <w:tcW w:w="3413"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其他条件</w:t>
            </w:r>
          </w:p>
        </w:tc>
      </w:tr>
      <w:tr>
        <w:tblPrEx>
          <w:shd w:val="clear" w:color="auto" w:fill="FFFFFF"/>
          <w:tblCellMar>
            <w:top w:w="0" w:type="dxa"/>
            <w:left w:w="0" w:type="dxa"/>
            <w:bottom w:w="0" w:type="dxa"/>
            <w:right w:w="0" w:type="dxa"/>
          </w:tblCellMar>
        </w:tblPrEx>
        <w:trPr>
          <w:trHeight w:val="4476" w:hRule="atLeast"/>
        </w:trPr>
        <w:tc>
          <w:tcPr>
            <w:tcW w:w="905" w:type="dxa"/>
            <w:tcBorders>
              <w:top w:val="single" w:color="auto" w:sz="6" w:space="0"/>
              <w:left w:val="single" w:color="auto" w:sz="6" w:space="0"/>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hint="eastAsia" w:ascii="仿宋" w:hAnsi="仿宋" w:eastAsia="仿宋" w:cs="宋体"/>
                <w:b/>
                <w:color w:val="000000"/>
                <w:spacing w:val="8"/>
                <w:kern w:val="0"/>
                <w:sz w:val="24"/>
                <w:szCs w:val="24"/>
              </w:rPr>
            </w:pPr>
            <w:r>
              <w:rPr>
                <w:rFonts w:hint="eastAsia" w:ascii="仿宋" w:hAnsi="仿宋" w:eastAsia="仿宋" w:cs="Arial"/>
                <w:color w:val="333333"/>
                <w:sz w:val="24"/>
                <w:szCs w:val="24"/>
                <w:lang w:val="en-US" w:eastAsia="zh-CN"/>
              </w:rPr>
              <w:t>全媒体编辑</w:t>
            </w:r>
          </w:p>
        </w:tc>
        <w:tc>
          <w:tcPr>
            <w:tcW w:w="888"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hint="eastAsia" w:ascii="仿宋" w:hAnsi="仿宋" w:eastAsia="仿宋" w:cs="宋体"/>
                <w:b/>
                <w:color w:val="000000"/>
                <w:spacing w:val="8"/>
                <w:kern w:val="0"/>
                <w:sz w:val="24"/>
                <w:szCs w:val="24"/>
              </w:rPr>
            </w:pPr>
            <w:r>
              <w:rPr>
                <w:rFonts w:hint="eastAsia" w:ascii="仿宋" w:hAnsi="仿宋" w:eastAsia="仿宋" w:cs="宋体"/>
                <w:color w:val="000000"/>
                <w:spacing w:val="8"/>
                <w:kern w:val="0"/>
                <w:sz w:val="24"/>
                <w:szCs w:val="24"/>
                <w:lang w:val="en-US" w:eastAsia="zh-CN"/>
              </w:rPr>
              <w:t>2</w:t>
            </w:r>
          </w:p>
        </w:tc>
        <w:tc>
          <w:tcPr>
            <w:tcW w:w="1440"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汉语言文学（050101）</w:t>
            </w:r>
            <w:r>
              <w:rPr>
                <w:rFonts w:hint="eastAsia" w:ascii="仿宋" w:hAnsi="仿宋" w:eastAsia="仿宋" w:cs="Arial"/>
                <w:color w:val="333333"/>
                <w:sz w:val="24"/>
                <w:szCs w:val="24"/>
              </w:rPr>
              <w:t>、社会学</w:t>
            </w:r>
            <w:r>
              <w:rPr>
                <w:rFonts w:hint="eastAsia" w:ascii="仿宋" w:hAnsi="仿宋" w:eastAsia="仿宋" w:cs="Arial"/>
                <w:color w:val="333333"/>
                <w:sz w:val="24"/>
                <w:szCs w:val="24"/>
                <w:lang w:eastAsia="zh-CN"/>
              </w:rPr>
              <w:t>（</w:t>
            </w:r>
            <w:r>
              <w:rPr>
                <w:rFonts w:hint="eastAsia" w:ascii="仿宋" w:hAnsi="仿宋" w:eastAsia="仿宋" w:cs="Arial"/>
                <w:color w:val="333333"/>
                <w:sz w:val="24"/>
                <w:szCs w:val="24"/>
                <w:lang w:val="en-US" w:eastAsia="zh-CN"/>
              </w:rPr>
              <w:t>030301</w:t>
            </w:r>
            <w:r>
              <w:rPr>
                <w:rFonts w:hint="eastAsia" w:ascii="仿宋" w:hAnsi="仿宋" w:eastAsia="仿宋" w:cs="Arial"/>
                <w:color w:val="333333"/>
                <w:sz w:val="24"/>
                <w:szCs w:val="24"/>
                <w:lang w:eastAsia="zh-CN"/>
              </w:rPr>
              <w:t>）、</w:t>
            </w:r>
            <w:r>
              <w:rPr>
                <w:rFonts w:hint="eastAsia" w:ascii="仿宋" w:hAnsi="仿宋" w:eastAsia="仿宋" w:cs="Arial"/>
                <w:color w:val="333333"/>
                <w:sz w:val="24"/>
                <w:szCs w:val="24"/>
              </w:rPr>
              <w:t>新闻传播</w:t>
            </w:r>
            <w:r>
              <w:rPr>
                <w:rFonts w:hint="eastAsia" w:ascii="仿宋" w:hAnsi="仿宋" w:eastAsia="仿宋" w:cs="Arial"/>
                <w:color w:val="333333"/>
                <w:sz w:val="24"/>
                <w:szCs w:val="24"/>
                <w:lang w:val="en-US" w:eastAsia="zh-CN"/>
              </w:rPr>
              <w:t>学类</w:t>
            </w:r>
          </w:p>
          <w:p>
            <w:pPr>
              <w:widowControl/>
              <w:wordWrap w:val="0"/>
              <w:jc w:val="center"/>
              <w:rPr>
                <w:rFonts w:hint="eastAsia" w:ascii="仿宋" w:hAnsi="仿宋" w:eastAsia="仿宋" w:cs="宋体"/>
                <w:b/>
                <w:color w:val="000000"/>
                <w:spacing w:val="8"/>
                <w:kern w:val="0"/>
                <w:sz w:val="24"/>
                <w:szCs w:val="24"/>
              </w:rPr>
            </w:pPr>
            <w:r>
              <w:rPr>
                <w:rFonts w:hint="eastAsia" w:ascii="仿宋" w:hAnsi="仿宋" w:eastAsia="仿宋" w:cs="Arial"/>
                <w:color w:val="333333"/>
                <w:sz w:val="24"/>
                <w:szCs w:val="24"/>
                <w:lang w:eastAsia="zh-CN"/>
              </w:rPr>
              <w:t>（</w:t>
            </w:r>
            <w:r>
              <w:rPr>
                <w:rFonts w:hint="eastAsia" w:ascii="仿宋" w:hAnsi="仿宋" w:eastAsia="仿宋" w:cs="Arial"/>
                <w:color w:val="333333"/>
                <w:sz w:val="24"/>
                <w:szCs w:val="24"/>
                <w:lang w:val="en-US" w:eastAsia="zh-CN"/>
              </w:rPr>
              <w:t>0503</w:t>
            </w:r>
            <w:r>
              <w:rPr>
                <w:rFonts w:hint="eastAsia" w:ascii="仿宋" w:hAnsi="仿宋" w:eastAsia="仿宋" w:cs="Arial"/>
                <w:color w:val="333333"/>
                <w:sz w:val="24"/>
                <w:szCs w:val="24"/>
                <w:lang w:eastAsia="zh-CN"/>
              </w:rPr>
              <w:t>）</w:t>
            </w:r>
          </w:p>
        </w:tc>
        <w:tc>
          <w:tcPr>
            <w:tcW w:w="1440"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hint="eastAsia" w:ascii="仿宋" w:hAnsi="仿宋" w:eastAsia="仿宋" w:cs="宋体"/>
                <w:color w:val="000000"/>
                <w:spacing w:val="8"/>
                <w:kern w:val="0"/>
                <w:sz w:val="24"/>
                <w:szCs w:val="24"/>
              </w:rPr>
            </w:pPr>
            <w:r>
              <w:rPr>
                <w:rFonts w:hint="eastAsia" w:ascii="仿宋" w:hAnsi="仿宋" w:eastAsia="仿宋" w:cs="宋体"/>
                <w:color w:val="000000"/>
                <w:spacing w:val="8"/>
                <w:kern w:val="0"/>
                <w:sz w:val="24"/>
                <w:szCs w:val="24"/>
              </w:rPr>
              <w:t>全国统招公办院校全日制本科（学士）及以上</w:t>
            </w:r>
          </w:p>
          <w:p>
            <w:pPr>
              <w:widowControl/>
              <w:wordWrap w:val="0"/>
              <w:jc w:val="center"/>
              <w:rPr>
                <w:rFonts w:hint="eastAsia" w:ascii="仿宋" w:hAnsi="仿宋" w:eastAsia="仿宋" w:cs="宋体"/>
                <w:color w:val="000000"/>
                <w:spacing w:val="8"/>
                <w:kern w:val="0"/>
                <w:sz w:val="24"/>
                <w:szCs w:val="24"/>
              </w:rPr>
            </w:pPr>
          </w:p>
        </w:tc>
        <w:tc>
          <w:tcPr>
            <w:tcW w:w="3413"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numPr>
                <w:ilvl w:val="0"/>
                <w:numId w:val="1"/>
              </w:numPr>
              <w:wordWrap w:val="0"/>
              <w:spacing w:line="240" w:lineRule="auto"/>
              <w:jc w:val="both"/>
              <w:rPr>
                <w:rFonts w:hint="default" w:ascii="仿宋" w:hAnsi="仿宋" w:eastAsia="仿宋" w:cs="Arial"/>
                <w:color w:val="333333"/>
                <w:sz w:val="24"/>
                <w:szCs w:val="24"/>
                <w:lang w:val="en-US" w:eastAsia="zh-CN"/>
              </w:rPr>
            </w:pPr>
            <w:r>
              <w:rPr>
                <w:rFonts w:hint="default" w:ascii="仿宋" w:hAnsi="仿宋" w:eastAsia="仿宋" w:cs="Arial"/>
                <w:color w:val="333333"/>
                <w:sz w:val="24"/>
                <w:szCs w:val="24"/>
                <w:lang w:val="en-US" w:eastAsia="zh-CN"/>
              </w:rPr>
              <w:t>有好奇心和求知欲，有团队协作精神，对新闻工作有激情；</w:t>
            </w:r>
          </w:p>
          <w:p>
            <w:pPr>
              <w:widowControl/>
              <w:numPr>
                <w:ilvl w:val="0"/>
                <w:numId w:val="1"/>
              </w:numPr>
              <w:wordWrap w:val="0"/>
              <w:spacing w:line="240" w:lineRule="auto"/>
              <w:jc w:val="both"/>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对热点有超强敏感度，能结合社会热点及官方社交媒体平台的调性构思新媒体传播内容和形式，有较强的编辑改造能力；</w:t>
            </w:r>
          </w:p>
          <w:p>
            <w:pPr>
              <w:widowControl/>
              <w:numPr>
                <w:ilvl w:val="0"/>
                <w:numId w:val="1"/>
              </w:numPr>
              <w:wordWrap w:val="0"/>
              <w:spacing w:line="240" w:lineRule="auto"/>
              <w:jc w:val="both"/>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有营销和创意思维，熟悉新媒体的运营、推广方式，可以灵活应用新玩法，擅长线上、线下活动策划、统筹、执行，有较强的活动创意组织能力。</w:t>
            </w:r>
            <w:bookmarkStart w:id="0" w:name="_GoBack"/>
            <w:bookmarkEnd w:id="0"/>
          </w:p>
          <w:p>
            <w:pPr>
              <w:widowControl/>
              <w:numPr>
                <w:ilvl w:val="0"/>
                <w:numId w:val="0"/>
              </w:numPr>
              <w:wordWrap w:val="0"/>
              <w:ind w:leftChars="0"/>
              <w:jc w:val="both"/>
              <w:rPr>
                <w:rFonts w:hint="eastAsia" w:ascii="仿宋" w:hAnsi="仿宋" w:eastAsia="仿宋" w:cs="Arial"/>
                <w:color w:val="333333"/>
                <w:sz w:val="28"/>
                <w:szCs w:val="28"/>
                <w:lang w:val="en-US" w:eastAsia="zh-CN"/>
              </w:rPr>
            </w:pPr>
          </w:p>
        </w:tc>
      </w:tr>
      <w:tr>
        <w:tblPrEx>
          <w:shd w:val="clear" w:color="auto" w:fill="FFFFFF"/>
          <w:tblCellMar>
            <w:top w:w="0" w:type="dxa"/>
            <w:left w:w="0" w:type="dxa"/>
            <w:bottom w:w="0" w:type="dxa"/>
            <w:right w:w="0" w:type="dxa"/>
          </w:tblCellMar>
        </w:tblPrEx>
        <w:trPr>
          <w:trHeight w:val="5040" w:hRule="atLeast"/>
        </w:trPr>
        <w:tc>
          <w:tcPr>
            <w:tcW w:w="905" w:type="dxa"/>
            <w:tcBorders>
              <w:top w:val="nil"/>
              <w:left w:val="single" w:color="auto" w:sz="4" w:space="0"/>
              <w:bottom w:val="single" w:color="auto" w:sz="4" w:space="0"/>
              <w:right w:val="single" w:color="auto" w:sz="6" w:space="0"/>
            </w:tcBorders>
            <w:shd w:val="clear" w:color="auto" w:fill="FFFFFF"/>
            <w:tcMar>
              <w:top w:w="0" w:type="dxa"/>
              <w:left w:w="101" w:type="dxa"/>
              <w:bottom w:w="0" w:type="dxa"/>
              <w:right w:w="101" w:type="dxa"/>
            </w:tcMar>
            <w:vAlign w:val="center"/>
          </w:tcPr>
          <w:p>
            <w:pPr>
              <w:bidi w:val="0"/>
              <w:jc w:val="center"/>
              <w:rPr>
                <w:rFonts w:hint="default"/>
                <w:lang w:val="en-US" w:eastAsia="zh-CN"/>
              </w:rPr>
            </w:pPr>
            <w:r>
              <w:rPr>
                <w:rFonts w:hint="eastAsia" w:ascii="仿宋" w:hAnsi="仿宋" w:eastAsia="仿宋" w:cs="仿宋"/>
                <w:sz w:val="24"/>
                <w:szCs w:val="24"/>
                <w:lang w:val="en-US" w:eastAsia="zh-CN"/>
              </w:rPr>
              <w:t>视频剪辑师</w:t>
            </w:r>
          </w:p>
        </w:tc>
        <w:tc>
          <w:tcPr>
            <w:tcW w:w="888" w:type="dxa"/>
            <w:tcBorders>
              <w:top w:val="nil"/>
              <w:left w:val="nil"/>
              <w:bottom w:val="single" w:color="auto" w:sz="4" w:space="0"/>
              <w:right w:val="single" w:color="auto" w:sz="6" w:space="0"/>
            </w:tcBorders>
            <w:shd w:val="clear" w:color="auto" w:fill="FFFFFF"/>
            <w:tcMar>
              <w:top w:w="0" w:type="dxa"/>
              <w:left w:w="101" w:type="dxa"/>
              <w:bottom w:w="0" w:type="dxa"/>
              <w:right w:w="101" w:type="dxa"/>
            </w:tcMar>
            <w:vAlign w:val="center"/>
          </w:tcPr>
          <w:p>
            <w:pPr>
              <w:bidi w:val="0"/>
              <w:jc w:val="center"/>
              <w:rPr>
                <w:rFonts w:hint="eastAsia"/>
                <w:lang w:val="en-US" w:eastAsia="zh-CN"/>
              </w:rPr>
            </w:pPr>
            <w:r>
              <w:rPr>
                <w:rFonts w:hint="eastAsia" w:ascii="仿宋" w:hAnsi="仿宋" w:eastAsia="仿宋" w:cs="仿宋"/>
                <w:sz w:val="24"/>
                <w:szCs w:val="24"/>
                <w:lang w:val="en-US" w:eastAsia="zh-CN"/>
              </w:rPr>
              <w:t>1</w:t>
            </w:r>
          </w:p>
        </w:tc>
        <w:tc>
          <w:tcPr>
            <w:tcW w:w="1440" w:type="dxa"/>
            <w:tcBorders>
              <w:top w:val="nil"/>
              <w:left w:val="nil"/>
              <w:bottom w:val="single" w:color="auto" w:sz="4" w:space="0"/>
              <w:right w:val="single" w:color="auto" w:sz="6" w:space="0"/>
            </w:tcBorders>
            <w:shd w:val="clear" w:color="auto" w:fill="FFFFFF"/>
            <w:tcMar>
              <w:top w:w="0" w:type="dxa"/>
              <w:left w:w="101" w:type="dxa"/>
              <w:bottom w:w="0" w:type="dxa"/>
              <w:right w:w="101" w:type="dxa"/>
            </w:tcMar>
            <w:vAlign w:val="center"/>
          </w:tcPr>
          <w:p>
            <w:pPr>
              <w:bidi w:val="0"/>
              <w:rPr>
                <w:rFonts w:hint="default"/>
                <w:lang w:val="en-US" w:eastAsia="zh-CN"/>
              </w:rPr>
            </w:pPr>
            <w:r>
              <w:rPr>
                <w:rFonts w:hint="eastAsia" w:ascii="仿宋" w:hAnsi="仿宋" w:eastAsia="仿宋" w:cs="仿宋"/>
                <w:sz w:val="24"/>
                <w:szCs w:val="24"/>
                <w:lang w:val="en-US" w:eastAsia="zh-CN"/>
              </w:rPr>
              <w:t>新闻传播学类（0503）、戏剧与影视学类（1313）计算机类（0809）</w:t>
            </w:r>
          </w:p>
        </w:tc>
        <w:tc>
          <w:tcPr>
            <w:tcW w:w="1440" w:type="dxa"/>
            <w:tcBorders>
              <w:top w:val="nil"/>
              <w:left w:val="nil"/>
              <w:bottom w:val="single" w:color="auto" w:sz="4"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hint="eastAsia" w:ascii="仿宋" w:hAnsi="仿宋" w:eastAsia="仿宋" w:cs="宋体"/>
                <w:color w:val="000000"/>
                <w:spacing w:val="8"/>
                <w:kern w:val="0"/>
                <w:sz w:val="24"/>
                <w:szCs w:val="24"/>
              </w:rPr>
            </w:pPr>
            <w:r>
              <w:rPr>
                <w:rFonts w:hint="eastAsia" w:ascii="仿宋" w:hAnsi="仿宋" w:eastAsia="仿宋" w:cs="宋体"/>
                <w:color w:val="000000"/>
                <w:spacing w:val="8"/>
                <w:kern w:val="0"/>
                <w:sz w:val="24"/>
                <w:szCs w:val="24"/>
              </w:rPr>
              <w:t>全国统招公办院校全日制本科（学士）及以上</w:t>
            </w:r>
          </w:p>
          <w:p>
            <w:pPr>
              <w:widowControl/>
              <w:wordWrap w:val="0"/>
              <w:spacing w:line="520" w:lineRule="exact"/>
              <w:rPr>
                <w:rFonts w:hint="eastAsia" w:ascii="仿宋" w:hAnsi="仿宋" w:eastAsia="仿宋" w:cs="宋体"/>
                <w:color w:val="000000"/>
                <w:spacing w:val="8"/>
                <w:kern w:val="0"/>
                <w:sz w:val="24"/>
                <w:szCs w:val="24"/>
                <w:lang w:val="en-US" w:eastAsia="zh-CN" w:bidi="ar-SA"/>
              </w:rPr>
            </w:pPr>
          </w:p>
        </w:tc>
        <w:tc>
          <w:tcPr>
            <w:tcW w:w="3413" w:type="dxa"/>
            <w:tcBorders>
              <w:top w:val="nil"/>
              <w:left w:val="nil"/>
              <w:bottom w:val="single" w:color="auto" w:sz="4" w:space="0"/>
              <w:right w:val="single" w:color="auto" w:sz="6" w:space="0"/>
            </w:tcBorders>
            <w:shd w:val="clear" w:color="auto" w:fill="FFFFFF"/>
            <w:tcMar>
              <w:top w:w="0" w:type="dxa"/>
              <w:left w:w="101" w:type="dxa"/>
              <w:bottom w:w="0" w:type="dxa"/>
              <w:right w:w="101" w:type="dxa"/>
            </w:tcMar>
            <w:vAlign w:val="center"/>
          </w:tcPr>
          <w:p>
            <w:pPr>
              <w:widowControl/>
              <w:numPr>
                <w:ilvl w:val="0"/>
                <w:numId w:val="0"/>
              </w:numPr>
              <w:wordWrap w:val="0"/>
              <w:spacing w:line="240" w:lineRule="auto"/>
              <w:jc w:val="both"/>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1.熟练使用摄像机、相机、稳定器等器材，运镜技巧娴熟；能根据主题创设拍摄场景、布置机位并合理划分镜头；</w:t>
            </w:r>
          </w:p>
          <w:p>
            <w:pPr>
              <w:widowControl/>
              <w:numPr>
                <w:ilvl w:val="0"/>
                <w:numId w:val="0"/>
              </w:numPr>
              <w:wordWrap w:val="0"/>
              <w:spacing w:line="240" w:lineRule="auto"/>
              <w:jc w:val="both"/>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2.熟悉PR、AE、AU、PS等后期制作软件；具备一定策划能力，有宣传片、专题片制作经验，可独立出片。</w:t>
            </w:r>
          </w:p>
          <w:p>
            <w:pPr>
              <w:widowControl/>
              <w:numPr>
                <w:ilvl w:val="0"/>
                <w:numId w:val="0"/>
              </w:numPr>
              <w:wordWrap w:val="0"/>
              <w:spacing w:line="240" w:lineRule="auto"/>
              <w:jc w:val="both"/>
              <w:rPr>
                <w:rFonts w:hint="eastAsia" w:ascii="仿宋" w:hAnsi="仿宋" w:eastAsia="仿宋" w:cs="Arial"/>
                <w:color w:val="333333"/>
                <w:sz w:val="24"/>
                <w:szCs w:val="24"/>
                <w:lang w:val="en-US" w:eastAsia="zh-CN"/>
              </w:rPr>
            </w:pPr>
            <w:r>
              <w:rPr>
                <w:rFonts w:hint="eastAsia" w:ascii="仿宋" w:hAnsi="仿宋" w:eastAsia="仿宋" w:cs="Arial"/>
                <w:color w:val="333333"/>
                <w:sz w:val="24"/>
                <w:szCs w:val="24"/>
                <w:lang w:val="en-US" w:eastAsia="zh-CN"/>
              </w:rPr>
              <w:t>3.抗压能力强，责任心强；心态年轻，思维活跃，具备创新精神和团队协作精神。</w:t>
            </w:r>
          </w:p>
          <w:p>
            <w:pPr>
              <w:widowControl/>
              <w:numPr>
                <w:ilvl w:val="0"/>
                <w:numId w:val="0"/>
              </w:numPr>
              <w:wordWrap w:val="0"/>
              <w:spacing w:line="240" w:lineRule="auto"/>
              <w:jc w:val="both"/>
              <w:rPr>
                <w:rFonts w:hint="default" w:ascii="仿宋" w:hAnsi="仿宋" w:eastAsia="仿宋" w:cs="宋体"/>
                <w:color w:val="333333"/>
                <w:spacing w:val="8"/>
                <w:kern w:val="0"/>
                <w:sz w:val="24"/>
                <w:szCs w:val="24"/>
                <w:lang w:val="en-US" w:eastAsia="zh-CN" w:bidi="ar-SA"/>
              </w:rPr>
            </w:pPr>
            <w:r>
              <w:rPr>
                <w:rFonts w:hint="eastAsia" w:ascii="仿宋" w:hAnsi="仿宋" w:eastAsia="仿宋" w:cs="Arial"/>
                <w:color w:val="333333"/>
                <w:sz w:val="24"/>
                <w:szCs w:val="24"/>
                <w:lang w:val="en-US" w:eastAsia="zh-CN"/>
              </w:rPr>
              <w:t>4.三年以上拍摄、剪辑工作经验，需提供相关作品。有大型活动直播经验，会使用无人机航拍更佳。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0CD0D"/>
    <w:multiLevelType w:val="singleLevel"/>
    <w:tmpl w:val="55C0CD0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2145A"/>
    <w:rsid w:val="790729D1"/>
    <w:rsid w:val="7D021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广东省总工会</Company>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2021-09-29T06:41:00Z</dcterms:created>
  <dc:creator>呸呸佩s</dc:creator>
  <cp:lastModifiedBy>呸呸佩s</cp:lastModifiedBy>
  <dcterms:modified xsi:type="dcterms:W3CDTF">2021-09-29T06:43:13Z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4A7FA3D6AAAE4DF28C1681CC1562245D</vt:lpwstr>
  </property>
</Properties>
</file>